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E" w:rsidRDefault="002B32E8">
      <w:pPr>
        <w:rPr>
          <w:rFonts w:ascii="Arial" w:hAnsi="Arial" w:cs="Arial"/>
          <w:b/>
          <w:sz w:val="28"/>
        </w:rPr>
      </w:pPr>
      <w:bookmarkStart w:id="0" w:name="_GoBack"/>
      <w:proofErr w:type="spellStart"/>
      <w:r w:rsidRPr="002B32E8">
        <w:rPr>
          <w:rFonts w:ascii="Arial" w:hAnsi="Arial" w:cs="Arial"/>
          <w:b/>
          <w:sz w:val="28"/>
        </w:rPr>
        <w:t>Symbolen</w:t>
      </w:r>
      <w:proofErr w:type="spellEnd"/>
      <w:r w:rsidRPr="002B32E8">
        <w:rPr>
          <w:rFonts w:ascii="Arial" w:hAnsi="Arial" w:cs="Arial"/>
          <w:b/>
          <w:sz w:val="28"/>
        </w:rPr>
        <w:t xml:space="preserve"> </w:t>
      </w:r>
      <w:proofErr w:type="spellStart"/>
      <w:r w:rsidRPr="002B32E8">
        <w:rPr>
          <w:rFonts w:ascii="Arial" w:hAnsi="Arial" w:cs="Arial"/>
          <w:b/>
          <w:sz w:val="28"/>
        </w:rPr>
        <w:t>en</w:t>
      </w:r>
      <w:proofErr w:type="spellEnd"/>
      <w:r w:rsidRPr="002B32E8">
        <w:rPr>
          <w:rFonts w:ascii="Arial" w:hAnsi="Arial" w:cs="Arial"/>
          <w:b/>
          <w:sz w:val="28"/>
        </w:rPr>
        <w:t xml:space="preserve"> </w:t>
      </w:r>
      <w:proofErr w:type="spellStart"/>
      <w:r w:rsidRPr="002B32E8">
        <w:rPr>
          <w:rFonts w:ascii="Arial" w:hAnsi="Arial" w:cs="Arial"/>
          <w:b/>
          <w:sz w:val="28"/>
        </w:rPr>
        <w:t>hun</w:t>
      </w:r>
      <w:proofErr w:type="spellEnd"/>
      <w:r w:rsidRPr="002B32E8">
        <w:rPr>
          <w:rFonts w:ascii="Arial" w:hAnsi="Arial" w:cs="Arial"/>
          <w:b/>
          <w:sz w:val="28"/>
        </w:rPr>
        <w:t xml:space="preserve"> </w:t>
      </w:r>
      <w:proofErr w:type="spellStart"/>
      <w:r w:rsidRPr="002B32E8">
        <w:rPr>
          <w:rFonts w:ascii="Arial" w:hAnsi="Arial" w:cs="Arial"/>
          <w:b/>
          <w:sz w:val="28"/>
        </w:rPr>
        <w:t>betekenis</w:t>
      </w:r>
      <w:proofErr w:type="spellEnd"/>
    </w:p>
    <w:bookmarkEnd w:id="0"/>
    <w:p w:rsidR="002B32E8" w:rsidRPr="002B32E8" w:rsidRDefault="002B32E8" w:rsidP="002B32E8">
      <w:pPr>
        <w:rPr>
          <w:rFonts w:ascii="Arial" w:hAnsi="Arial" w:cs="Arial"/>
          <w:b/>
          <w:sz w:val="24"/>
        </w:rPr>
      </w:pPr>
      <w:r>
        <w:rPr>
          <w:rFonts w:ascii="Arial" w:hAnsi="Arial" w:cs="Arial"/>
          <w:b/>
          <w:sz w:val="24"/>
        </w:rPr>
        <w:t xml:space="preserve">De </w:t>
      </w:r>
      <w:proofErr w:type="spellStart"/>
      <w:r>
        <w:rPr>
          <w:rFonts w:ascii="Arial" w:hAnsi="Arial" w:cs="Arial"/>
          <w:b/>
          <w:sz w:val="24"/>
        </w:rPr>
        <w:t>symbolen</w:t>
      </w:r>
      <w:proofErr w:type="spellEnd"/>
      <w:r>
        <w:rPr>
          <w:rFonts w:ascii="Arial" w:hAnsi="Arial" w:cs="Arial"/>
          <w:b/>
          <w:sz w:val="24"/>
        </w:rPr>
        <w:t xml:space="preserve"> </w:t>
      </w:r>
      <w:proofErr w:type="spellStart"/>
      <w:r>
        <w:rPr>
          <w:rFonts w:ascii="Arial" w:hAnsi="Arial" w:cs="Arial"/>
          <w:b/>
          <w:sz w:val="24"/>
        </w:rPr>
        <w:t>en</w:t>
      </w:r>
      <w:proofErr w:type="spellEnd"/>
      <w:r>
        <w:rPr>
          <w:rFonts w:ascii="Arial" w:hAnsi="Arial" w:cs="Arial"/>
          <w:b/>
          <w:sz w:val="24"/>
        </w:rPr>
        <w:t xml:space="preserve"> </w:t>
      </w:r>
      <w:proofErr w:type="spellStart"/>
      <w:r>
        <w:rPr>
          <w:rFonts w:ascii="Arial" w:hAnsi="Arial" w:cs="Arial"/>
          <w:b/>
          <w:sz w:val="24"/>
        </w:rPr>
        <w:t>hun</w:t>
      </w:r>
      <w:proofErr w:type="spellEnd"/>
      <w:r>
        <w:rPr>
          <w:rFonts w:ascii="Arial" w:hAnsi="Arial" w:cs="Arial"/>
          <w:b/>
          <w:sz w:val="24"/>
        </w:rPr>
        <w:t xml:space="preserve"> </w:t>
      </w:r>
      <w:proofErr w:type="spellStart"/>
      <w:r>
        <w:rPr>
          <w:rFonts w:ascii="Arial" w:hAnsi="Arial" w:cs="Arial"/>
          <w:b/>
          <w:sz w:val="24"/>
        </w:rPr>
        <w:t>betekenis</w:t>
      </w:r>
      <w:proofErr w:type="spellEnd"/>
    </w:p>
    <w:p w:rsidR="002B32E8" w:rsidRDefault="002B32E8" w:rsidP="002B32E8">
      <w:pPr>
        <w:rPr>
          <w:rFonts w:ascii="Arial" w:hAnsi="Arial" w:cs="Arial"/>
          <w:lang w:val="nl-NL"/>
        </w:rPr>
      </w:pPr>
      <w:r w:rsidRPr="002B32E8">
        <w:rPr>
          <w:rFonts w:ascii="Arial" w:hAnsi="Arial" w:cs="Arial"/>
          <w:lang w:val="nl-NL"/>
        </w:rPr>
        <w:t>De symbolen kunnen in combinatie met elkaar voorkomen.</w:t>
      </w:r>
    </w:p>
    <w:tbl>
      <w:tblPr>
        <w:tblStyle w:val="Tabelraster"/>
        <w:tblW w:w="9303" w:type="dxa"/>
        <w:tblLook w:val="04A0" w:firstRow="1" w:lastRow="0" w:firstColumn="1" w:lastColumn="0" w:noHBand="0" w:noVBand="1"/>
      </w:tblPr>
      <w:tblGrid>
        <w:gridCol w:w="1937"/>
        <w:gridCol w:w="2736"/>
        <w:gridCol w:w="4630"/>
      </w:tblGrid>
      <w:tr w:rsidR="002B32E8" w:rsidTr="002B32E8">
        <w:tc>
          <w:tcPr>
            <w:tcW w:w="1937" w:type="dxa"/>
          </w:tcPr>
          <w:p w:rsidR="002B32E8" w:rsidRPr="002B32E8" w:rsidRDefault="002B32E8" w:rsidP="002B32E8">
            <w:pPr>
              <w:rPr>
                <w:rFonts w:ascii="Arial" w:hAnsi="Arial" w:cs="Arial"/>
                <w:b/>
                <w:sz w:val="20"/>
                <w:szCs w:val="20"/>
              </w:rPr>
            </w:pPr>
            <w:proofErr w:type="spellStart"/>
            <w:r w:rsidRPr="002B32E8">
              <w:rPr>
                <w:rFonts w:ascii="Arial" w:hAnsi="Arial" w:cs="Arial"/>
                <w:b/>
                <w:sz w:val="20"/>
                <w:szCs w:val="20"/>
              </w:rPr>
              <w:t>Gevarensymbool</w:t>
            </w:r>
            <w:proofErr w:type="spellEnd"/>
          </w:p>
        </w:tc>
        <w:tc>
          <w:tcPr>
            <w:tcW w:w="2736" w:type="dxa"/>
          </w:tcPr>
          <w:p w:rsidR="002B32E8" w:rsidRPr="002B32E8" w:rsidRDefault="002B32E8" w:rsidP="002B32E8">
            <w:pPr>
              <w:rPr>
                <w:rFonts w:ascii="Arial" w:hAnsi="Arial" w:cs="Arial"/>
                <w:b/>
                <w:sz w:val="20"/>
                <w:szCs w:val="20"/>
              </w:rPr>
            </w:pPr>
            <w:r w:rsidRPr="002B32E8">
              <w:rPr>
                <w:rFonts w:ascii="Arial" w:hAnsi="Arial" w:cs="Arial"/>
                <w:b/>
                <w:sz w:val="20"/>
                <w:szCs w:val="20"/>
              </w:rPr>
              <w:t xml:space="preserve"> </w:t>
            </w:r>
            <w:proofErr w:type="spellStart"/>
            <w:r w:rsidRPr="002B32E8">
              <w:rPr>
                <w:rFonts w:ascii="Arial" w:hAnsi="Arial" w:cs="Arial"/>
                <w:b/>
                <w:sz w:val="20"/>
                <w:szCs w:val="20"/>
              </w:rPr>
              <w:t>Betekenis</w:t>
            </w:r>
            <w:proofErr w:type="spellEnd"/>
          </w:p>
        </w:tc>
        <w:tc>
          <w:tcPr>
            <w:tcW w:w="4630" w:type="dxa"/>
          </w:tcPr>
          <w:p w:rsidR="002B32E8" w:rsidRPr="002B32E8" w:rsidRDefault="002B32E8" w:rsidP="002B32E8">
            <w:pPr>
              <w:rPr>
                <w:rFonts w:ascii="Arial" w:hAnsi="Arial" w:cs="Arial"/>
                <w:b/>
                <w:sz w:val="20"/>
                <w:szCs w:val="20"/>
              </w:rPr>
            </w:pPr>
            <w:r w:rsidRPr="002B32E8">
              <w:rPr>
                <w:rFonts w:ascii="Arial" w:hAnsi="Arial" w:cs="Arial"/>
                <w:b/>
                <w:sz w:val="20"/>
                <w:szCs w:val="20"/>
              </w:rPr>
              <w:t xml:space="preserve"> </w:t>
            </w:r>
            <w:proofErr w:type="spellStart"/>
            <w:r w:rsidRPr="002B32E8">
              <w:rPr>
                <w:rFonts w:ascii="Arial" w:hAnsi="Arial" w:cs="Arial"/>
                <w:b/>
                <w:sz w:val="20"/>
                <w:szCs w:val="20"/>
              </w:rPr>
              <w:t>Toelichting</w:t>
            </w:r>
            <w:proofErr w:type="spellEnd"/>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1" name="Afbeelding 1" descr="http://www.agroarbo.nl/media/images/ontvlambaar.jpg?ep=LT06QRIyr5iJCLnvZKO7of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oarbo.nl/media/images/ontvlambaar.jpg?ep=LT06QRIyr5iJCLnvZKO7ofomo7ojRXQJZhzUCHlL9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Ontvlambaar</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Deze producten (gassen, vloeistoffen, vaste stoffen) vatten gemakkelijk vlam in de nabijheid van een warmtebron of open vuur (brandende sigaret, waakvlam), door een vonk (schakelaar, vallende verfkrabber).</w:t>
            </w:r>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2" name="Afbeelding 2" descr="http://www.agroarbo.nl/media/images/explosief.jpg?ep=96ytWdKaMm7EacJCqVrds_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groarbo.nl/media/images/explosief.jpg?ep=96ytWdKaMm7EacJCqVrds_omo7ojRXQJZhzUCHlL9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Explosief</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Deze producten kunnen ontploffen.</w:t>
            </w:r>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3" name="Afbeelding 3" descr="http://www.agroarbo.nl/media/images/oxiderend.jpg?ep=jDDzqEYhU3TuDlZ-ozgFav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groarbo.nl/media/images/oxiderend.jpg?ep=jDDzqEYhU3TuDlZ-ozgFavomo7ojRXQJZhzUCHlL9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Oxiderend</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Producten in deze klasse kunnen bij aanraking met andere stoffen (met name brandbare stoffen) heftig reageren. Hierbij komt erg veel warmte vrij.</w:t>
            </w:r>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4" name="Afbeelding 4" descr="http://www.agroarbo.nl/media/images/corrosief.jpg?ep=_RYo9lonh1VYgCJnaNwLgv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groarbo.nl/media/images/corrosief.jpg?ep=_RYo9lonh1VYgCJnaNwLgvomo7ojRXQJZhzUCHlL9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Corrosief</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Dit symbool staat op bijtende producten die een vernietigend effect hebben op lichaamsweefsels zoals huid, ogen en slokdarm. Ook vaste stoffen zoals textiel, hout en metaal kunnen worden aangetast.</w:t>
            </w:r>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5" name="Afbeelding 5" descr="http://www.agroarbo.nl/media/images/giftig.jpg?ep=JZP9UuwsiQx8gdXB8mP0KP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groarbo.nl/media/images/giftig.jpg?ep=JZP9UuwsiQx8gdXB8mP0KPomo7ojRXQJZhzUCHlL9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Giftig</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Producten die als giftig aangeduid worden, leveren bij opname via mond, huid of inademing ernstig gevaar op en kunnen dodelijk zijn.</w:t>
            </w:r>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6" name="Afbeelding 6" descr="http://www.agroarbo.nl/media/images/minder-ernstig-gezondheidsgevaar.jpg?ep=s0sHzJzhTzvz778lsV7ktf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groarbo.nl/media/images/minder-ernstig-gezondheidsgevaar.jpg?ep=s0sHzJzhTzvz778lsV7ktfomo7ojRXQJZhzUCHlL9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 xml:space="preserve">Minder ernstig gezondheids-gevaar in vergelijking met giftig, corrosief en </w:t>
            </w:r>
            <w:proofErr w:type="spellStart"/>
            <w:r w:rsidRPr="002B32E8">
              <w:rPr>
                <w:rFonts w:ascii="Arial" w:hAnsi="Arial" w:cs="Arial"/>
                <w:sz w:val="20"/>
                <w:lang w:val="nl-NL"/>
              </w:rPr>
              <w:t>langetermijn</w:t>
            </w:r>
            <w:proofErr w:type="spellEnd"/>
            <w:r w:rsidRPr="002B32E8">
              <w:rPr>
                <w:rFonts w:ascii="Arial" w:hAnsi="Arial" w:cs="Arial"/>
                <w:sz w:val="20"/>
                <w:lang w:val="nl-NL"/>
              </w:rPr>
              <w:t xml:space="preserve"> gezondheidsgevaar</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Producten in deze klasse leveren bij inslikken, inademen of opname via de huid irritatie of schadelijke lichamelijke effecten op.</w:t>
            </w:r>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7" name="Afbeelding 7" descr="http://www.agroarbo.nl/media/images/langetermijn-gezondheidsgevaar.jpg?ep=ZHlB4Iwe3NWasEMaIvveAv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groarbo.nl/media/images/langetermijn-gezondheidsgevaar.jpg?ep=ZHlB4Iwe3NWasEMaIvveAvomo7ojRXQJZhzUCHlL9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Langetermijn gezondheidsgevaar</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Producten uit deze klasse zijn bij inslikken, inademen of opname via de huid (verdacht) kankerverwekkend of anderszins mogelijk schadelijk voor de gezondheid en de voortplanting.</w:t>
            </w:r>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8" name="Afbeelding 8" descr="http://www.agroarbo.nl/media/images/milieugevaarlijk.jpg?ep=PerQPFAKU8w4hBYQ73Wccv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groarbo.nl/media/images/milieugevaarlijk.jpg?ep=PerQPFAKU8w4hBYQ73Wccvomo7ojRXQJZhzUCHlL9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Milieugevaarlijk</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Producten in deze klasse leveren ernstige schade op voor het milieu, bijvoorbeeld sterfte van vissen of bijen.</w:t>
            </w:r>
          </w:p>
        </w:tc>
      </w:tr>
      <w:tr w:rsidR="002B32E8" w:rsidTr="002B32E8">
        <w:tc>
          <w:tcPr>
            <w:tcW w:w="1937" w:type="dxa"/>
          </w:tcPr>
          <w:p w:rsidR="002B32E8" w:rsidRPr="002B32E8" w:rsidRDefault="002B32E8" w:rsidP="002B32E8">
            <w:pPr>
              <w:rPr>
                <w:rFonts w:ascii="Arial" w:hAnsi="Arial" w:cs="Arial"/>
                <w:sz w:val="20"/>
                <w:szCs w:val="20"/>
                <w:lang w:val="nl-NL"/>
              </w:rPr>
            </w:pPr>
            <w:r>
              <w:rPr>
                <w:noProof/>
                <w:lang w:eastAsia="en-GB"/>
              </w:rPr>
              <w:drawing>
                <wp:inline distT="0" distB="0" distL="0" distR="0">
                  <wp:extent cx="733425" cy="733425"/>
                  <wp:effectExtent l="0" t="0" r="9525" b="9525"/>
                  <wp:docPr id="9" name="Afbeelding 9" descr="http://www.agroarbo.nl/media/images/gassen-onder-druk.jpg?ep=9KXaD7z-difSEzLxj1UoF_omo7ojRXQJZhzUCHlL9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groarbo.nl/media/images/gassen-onder-druk.jpg?ep=9KXaD7z-difSEzLxj1UoF_omo7ojRXQJZhzUCHlL9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2736"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Gassen onder druk</w:t>
            </w:r>
          </w:p>
        </w:tc>
        <w:tc>
          <w:tcPr>
            <w:tcW w:w="4630" w:type="dxa"/>
            <w:vAlign w:val="center"/>
          </w:tcPr>
          <w:p w:rsidR="002B32E8" w:rsidRPr="002B32E8" w:rsidRDefault="002B32E8" w:rsidP="002B32E8">
            <w:pPr>
              <w:rPr>
                <w:rFonts w:ascii="Arial" w:hAnsi="Arial" w:cs="Arial"/>
                <w:sz w:val="20"/>
                <w:szCs w:val="20"/>
                <w:lang w:val="nl-NL"/>
              </w:rPr>
            </w:pPr>
            <w:r w:rsidRPr="002B32E8">
              <w:rPr>
                <w:rFonts w:ascii="Arial" w:hAnsi="Arial" w:cs="Arial"/>
                <w:sz w:val="20"/>
                <w:lang w:val="nl-NL"/>
              </w:rPr>
              <w:t>Het gaat om samengeperste gassen, vloeibare gassen, sterk gekoelde gassen of opgeloste gassen. Blootstelling aan hoge temperaturen kan leiden tot brand of ontploffing.</w:t>
            </w:r>
          </w:p>
        </w:tc>
      </w:tr>
    </w:tbl>
    <w:p w:rsidR="002B32E8" w:rsidRPr="002B32E8" w:rsidRDefault="002B32E8" w:rsidP="002B32E8">
      <w:pPr>
        <w:rPr>
          <w:rFonts w:ascii="Arial" w:hAnsi="Arial" w:cs="Arial"/>
          <w:b/>
          <w:sz w:val="20"/>
          <w:lang w:val="nl-NL"/>
        </w:rPr>
      </w:pPr>
      <w:r w:rsidRPr="002B32E8">
        <w:rPr>
          <w:rFonts w:ascii="Arial" w:hAnsi="Arial" w:cs="Arial"/>
          <w:b/>
          <w:sz w:val="20"/>
          <w:lang w:val="nl-NL"/>
        </w:rPr>
        <w:t>Signaalwoorden</w:t>
      </w:r>
    </w:p>
    <w:p w:rsidR="002B32E8" w:rsidRPr="002B32E8" w:rsidRDefault="002B32E8" w:rsidP="002B32E8">
      <w:pPr>
        <w:rPr>
          <w:rFonts w:ascii="Arial" w:hAnsi="Arial" w:cs="Arial"/>
          <w:sz w:val="20"/>
          <w:lang w:val="nl-NL"/>
        </w:rPr>
      </w:pPr>
      <w:r w:rsidRPr="002B32E8">
        <w:rPr>
          <w:rFonts w:ascii="Arial" w:hAnsi="Arial" w:cs="Arial"/>
          <w:sz w:val="20"/>
          <w:lang w:val="nl-NL"/>
        </w:rPr>
        <w:t>Op de producten staan onder de symbolen zogenaamde signaalwoorden. Het signaalwoord 'gevaar' wordt gebruikt voor de meest gevaarlijke categorie binnen een klasse. Het signaalwoord 'waarschuwing' wordt gebruikt voor de minder gevaarlijke categorie binnen die klasse. De signaalwoorden worden afzonderlijk van elkaar gebruikt. Als het signaalwoord ‘gevaar’ op het etiket staat, wordt het signaalwoord ‘waarschuwing’ niet vermeld.</w:t>
      </w:r>
    </w:p>
    <w:p w:rsidR="002B32E8" w:rsidRPr="002B32E8" w:rsidRDefault="002B32E8" w:rsidP="002B32E8">
      <w:pPr>
        <w:rPr>
          <w:rFonts w:ascii="Arial" w:hAnsi="Arial" w:cs="Arial"/>
          <w:b/>
          <w:sz w:val="20"/>
          <w:lang w:val="nl-NL"/>
        </w:rPr>
      </w:pPr>
      <w:r w:rsidRPr="002B32E8">
        <w:rPr>
          <w:rFonts w:ascii="Arial" w:hAnsi="Arial" w:cs="Arial"/>
          <w:b/>
          <w:sz w:val="20"/>
          <w:lang w:val="nl-NL"/>
        </w:rPr>
        <w:lastRenderedPageBreak/>
        <w:t>Gevarenaandu</w:t>
      </w:r>
      <w:r>
        <w:rPr>
          <w:rFonts w:ascii="Arial" w:hAnsi="Arial" w:cs="Arial"/>
          <w:b/>
          <w:sz w:val="20"/>
          <w:lang w:val="nl-NL"/>
        </w:rPr>
        <w:t>idingen en voorzorgsmaatregelen</w:t>
      </w:r>
    </w:p>
    <w:p w:rsidR="002B32E8" w:rsidRPr="002B32E8" w:rsidRDefault="002B32E8" w:rsidP="002B32E8">
      <w:pPr>
        <w:rPr>
          <w:rFonts w:ascii="Arial" w:hAnsi="Arial" w:cs="Arial"/>
          <w:sz w:val="20"/>
          <w:lang w:val="nl-NL"/>
        </w:rPr>
      </w:pPr>
      <w:r w:rsidRPr="002B32E8">
        <w:rPr>
          <w:rFonts w:ascii="Arial" w:hAnsi="Arial" w:cs="Arial"/>
          <w:sz w:val="20"/>
          <w:lang w:val="nl-NL"/>
        </w:rPr>
        <w:t>Naast symbolen en signaalwoorden staat op de nieuwe etiketten ook aangegeven waar verkeerd gebruik van het product toe kan leiden (de zogenaamde gevarenaanduidingen) en welke voo</w:t>
      </w:r>
      <w:r>
        <w:rPr>
          <w:rFonts w:ascii="Arial" w:hAnsi="Arial" w:cs="Arial"/>
          <w:sz w:val="20"/>
          <w:lang w:val="nl-NL"/>
        </w:rPr>
        <w:t>rzorgsmaatregelen u moet nemen.</w:t>
      </w:r>
    </w:p>
    <w:p w:rsidR="002B32E8" w:rsidRPr="002B32E8" w:rsidRDefault="002B32E8" w:rsidP="002B32E8">
      <w:pPr>
        <w:rPr>
          <w:rFonts w:ascii="Arial" w:hAnsi="Arial" w:cs="Arial"/>
          <w:b/>
          <w:sz w:val="20"/>
          <w:lang w:val="nl-NL"/>
        </w:rPr>
      </w:pPr>
      <w:r w:rsidRPr="002B32E8">
        <w:rPr>
          <w:rFonts w:ascii="Arial" w:hAnsi="Arial" w:cs="Arial"/>
          <w:b/>
          <w:sz w:val="20"/>
          <w:lang w:val="nl-NL"/>
        </w:rPr>
        <w:t>Voorb</w:t>
      </w:r>
      <w:r>
        <w:rPr>
          <w:rFonts w:ascii="Arial" w:hAnsi="Arial" w:cs="Arial"/>
          <w:b/>
          <w:sz w:val="20"/>
          <w:lang w:val="nl-NL"/>
        </w:rPr>
        <w:t>eelden van gevarenaanduidingen:</w:t>
      </w:r>
    </w:p>
    <w:p w:rsidR="002B32E8" w:rsidRPr="002B32E8" w:rsidRDefault="002B32E8" w:rsidP="002B32E8">
      <w:pPr>
        <w:pStyle w:val="Lijstalinea"/>
        <w:numPr>
          <w:ilvl w:val="0"/>
          <w:numId w:val="1"/>
        </w:numPr>
        <w:rPr>
          <w:rFonts w:ascii="Arial" w:hAnsi="Arial" w:cs="Arial"/>
          <w:sz w:val="20"/>
          <w:lang w:val="nl-NL"/>
        </w:rPr>
      </w:pPr>
      <w:r w:rsidRPr="002B32E8">
        <w:rPr>
          <w:rFonts w:ascii="Arial" w:hAnsi="Arial" w:cs="Arial"/>
          <w:sz w:val="20"/>
          <w:lang w:val="nl-NL"/>
        </w:rPr>
        <w:t>H336 Kan slaperigheid of duizeligheid veroorzaken</w:t>
      </w:r>
    </w:p>
    <w:p w:rsidR="002B32E8" w:rsidRPr="002B32E8" w:rsidRDefault="002B32E8" w:rsidP="002B32E8">
      <w:pPr>
        <w:pStyle w:val="Lijstalinea"/>
        <w:numPr>
          <w:ilvl w:val="0"/>
          <w:numId w:val="1"/>
        </w:numPr>
        <w:rPr>
          <w:rFonts w:ascii="Arial" w:hAnsi="Arial" w:cs="Arial"/>
          <w:sz w:val="20"/>
          <w:lang w:val="nl-NL"/>
        </w:rPr>
      </w:pPr>
      <w:r w:rsidRPr="002B32E8">
        <w:rPr>
          <w:rFonts w:ascii="Arial" w:hAnsi="Arial" w:cs="Arial"/>
          <w:sz w:val="20"/>
          <w:lang w:val="nl-NL"/>
        </w:rPr>
        <w:t>H302 Schadelijk bij inslikken</w:t>
      </w:r>
    </w:p>
    <w:p w:rsidR="002B32E8" w:rsidRPr="002B32E8" w:rsidRDefault="002B32E8" w:rsidP="002B32E8">
      <w:pPr>
        <w:pStyle w:val="Lijstalinea"/>
        <w:numPr>
          <w:ilvl w:val="0"/>
          <w:numId w:val="1"/>
        </w:numPr>
        <w:rPr>
          <w:rFonts w:ascii="Arial" w:hAnsi="Arial" w:cs="Arial"/>
          <w:sz w:val="20"/>
          <w:lang w:val="nl-NL"/>
        </w:rPr>
      </w:pPr>
      <w:r w:rsidRPr="002B32E8">
        <w:rPr>
          <w:rFonts w:ascii="Arial" w:hAnsi="Arial" w:cs="Arial"/>
          <w:sz w:val="20"/>
          <w:lang w:val="nl-NL"/>
        </w:rPr>
        <w:t>H321 Schadelijk bij contact met de huid</w:t>
      </w:r>
    </w:p>
    <w:p w:rsidR="002B32E8" w:rsidRPr="002B32E8" w:rsidRDefault="002B32E8" w:rsidP="002B32E8">
      <w:pPr>
        <w:rPr>
          <w:rFonts w:ascii="Arial" w:hAnsi="Arial" w:cs="Arial"/>
          <w:b/>
          <w:sz w:val="20"/>
          <w:lang w:val="nl-NL"/>
        </w:rPr>
      </w:pPr>
      <w:r w:rsidRPr="002B32E8">
        <w:rPr>
          <w:rFonts w:ascii="Arial" w:hAnsi="Arial" w:cs="Arial"/>
          <w:b/>
          <w:sz w:val="20"/>
          <w:lang w:val="nl-NL"/>
        </w:rPr>
        <w:t>Voorbe</w:t>
      </w:r>
      <w:r>
        <w:rPr>
          <w:rFonts w:ascii="Arial" w:hAnsi="Arial" w:cs="Arial"/>
          <w:b/>
          <w:sz w:val="20"/>
          <w:lang w:val="nl-NL"/>
        </w:rPr>
        <w:t>elden van voorzorgsmaatregelen:</w:t>
      </w:r>
    </w:p>
    <w:p w:rsidR="002B32E8" w:rsidRPr="002B32E8" w:rsidRDefault="002B32E8" w:rsidP="002B32E8">
      <w:pPr>
        <w:pStyle w:val="Lijstalinea"/>
        <w:numPr>
          <w:ilvl w:val="0"/>
          <w:numId w:val="2"/>
        </w:numPr>
        <w:rPr>
          <w:rFonts w:ascii="Arial" w:hAnsi="Arial" w:cs="Arial"/>
          <w:sz w:val="20"/>
          <w:lang w:val="nl-NL"/>
        </w:rPr>
      </w:pPr>
      <w:r w:rsidRPr="002B32E8">
        <w:rPr>
          <w:rFonts w:ascii="Arial" w:hAnsi="Arial" w:cs="Arial"/>
          <w:sz w:val="20"/>
          <w:lang w:val="nl-NL"/>
        </w:rPr>
        <w:t>P314 Bij onwel voelen een arts raadplegen</w:t>
      </w:r>
    </w:p>
    <w:p w:rsidR="002B32E8" w:rsidRPr="002B32E8" w:rsidRDefault="002B32E8" w:rsidP="002B32E8">
      <w:pPr>
        <w:pStyle w:val="Lijstalinea"/>
        <w:numPr>
          <w:ilvl w:val="0"/>
          <w:numId w:val="2"/>
        </w:numPr>
        <w:rPr>
          <w:rFonts w:ascii="Arial" w:hAnsi="Arial" w:cs="Arial"/>
          <w:sz w:val="20"/>
          <w:lang w:val="nl-NL"/>
        </w:rPr>
      </w:pPr>
      <w:r w:rsidRPr="002B32E8">
        <w:rPr>
          <w:rFonts w:ascii="Arial" w:hAnsi="Arial" w:cs="Arial"/>
          <w:sz w:val="20"/>
          <w:lang w:val="nl-NL"/>
        </w:rPr>
        <w:t>P331 GEEN braken opwekken</w:t>
      </w:r>
    </w:p>
    <w:p w:rsidR="002B32E8" w:rsidRPr="002B32E8" w:rsidRDefault="002B32E8" w:rsidP="002B32E8">
      <w:pPr>
        <w:pStyle w:val="Lijstalinea"/>
        <w:numPr>
          <w:ilvl w:val="0"/>
          <w:numId w:val="2"/>
        </w:numPr>
        <w:rPr>
          <w:rFonts w:ascii="Arial" w:hAnsi="Arial" w:cs="Arial"/>
          <w:sz w:val="20"/>
          <w:lang w:val="nl-NL"/>
        </w:rPr>
      </w:pPr>
      <w:r w:rsidRPr="002B32E8">
        <w:rPr>
          <w:rFonts w:ascii="Arial" w:hAnsi="Arial" w:cs="Arial"/>
          <w:sz w:val="20"/>
          <w:lang w:val="nl-NL"/>
        </w:rPr>
        <w:t>P350 Voorzichtig wassen met veel water en zeep</w:t>
      </w:r>
    </w:p>
    <w:p w:rsidR="002B32E8" w:rsidRPr="002B32E8" w:rsidRDefault="002B32E8" w:rsidP="002B32E8">
      <w:pPr>
        <w:pStyle w:val="Lijstalinea"/>
        <w:numPr>
          <w:ilvl w:val="0"/>
          <w:numId w:val="2"/>
        </w:numPr>
        <w:rPr>
          <w:rFonts w:ascii="Arial" w:hAnsi="Arial" w:cs="Arial"/>
          <w:sz w:val="20"/>
          <w:lang w:val="nl-NL"/>
        </w:rPr>
      </w:pPr>
      <w:r w:rsidRPr="002B32E8">
        <w:rPr>
          <w:rFonts w:ascii="Arial" w:hAnsi="Arial" w:cs="Arial"/>
          <w:sz w:val="20"/>
          <w:lang w:val="nl-NL"/>
        </w:rPr>
        <w:t>P353 Huid met water afspoelen/afdouchen</w:t>
      </w:r>
    </w:p>
    <w:p w:rsidR="002B32E8" w:rsidRPr="002B32E8" w:rsidRDefault="002B32E8" w:rsidP="002B32E8">
      <w:pPr>
        <w:pStyle w:val="Lijstalinea"/>
        <w:numPr>
          <w:ilvl w:val="0"/>
          <w:numId w:val="2"/>
        </w:numPr>
        <w:rPr>
          <w:rFonts w:ascii="Arial" w:hAnsi="Arial" w:cs="Arial"/>
          <w:sz w:val="20"/>
          <w:lang w:val="nl-NL"/>
        </w:rPr>
      </w:pPr>
      <w:r w:rsidRPr="002B32E8">
        <w:rPr>
          <w:rFonts w:ascii="Arial" w:hAnsi="Arial" w:cs="Arial"/>
          <w:sz w:val="20"/>
          <w:lang w:val="nl-NL"/>
        </w:rPr>
        <w:t>P333+131 Bij huidirritatie of uitslag: een arts raadplegen</w:t>
      </w:r>
    </w:p>
    <w:p w:rsidR="002B32E8" w:rsidRPr="002B32E8" w:rsidRDefault="002B32E8" w:rsidP="002B32E8">
      <w:pPr>
        <w:rPr>
          <w:rFonts w:ascii="Arial" w:hAnsi="Arial" w:cs="Arial"/>
          <w:b/>
          <w:sz w:val="20"/>
          <w:lang w:val="nl-NL"/>
        </w:rPr>
      </w:pPr>
      <w:proofErr w:type="spellStart"/>
      <w:r w:rsidRPr="002B32E8">
        <w:rPr>
          <w:rFonts w:ascii="Arial" w:hAnsi="Arial" w:cs="Arial"/>
          <w:b/>
          <w:sz w:val="20"/>
          <w:lang w:val="nl-NL"/>
        </w:rPr>
        <w:t>G</w:t>
      </w:r>
      <w:r>
        <w:rPr>
          <w:rFonts w:ascii="Arial" w:hAnsi="Arial" w:cs="Arial"/>
          <w:b/>
          <w:sz w:val="20"/>
          <w:lang w:val="nl-NL"/>
        </w:rPr>
        <w:t>lobally</w:t>
      </w:r>
      <w:proofErr w:type="spellEnd"/>
      <w:r>
        <w:rPr>
          <w:rFonts w:ascii="Arial" w:hAnsi="Arial" w:cs="Arial"/>
          <w:b/>
          <w:sz w:val="20"/>
          <w:lang w:val="nl-NL"/>
        </w:rPr>
        <w:t xml:space="preserve"> </w:t>
      </w:r>
      <w:proofErr w:type="spellStart"/>
      <w:r>
        <w:rPr>
          <w:rFonts w:ascii="Arial" w:hAnsi="Arial" w:cs="Arial"/>
          <w:b/>
          <w:sz w:val="20"/>
          <w:lang w:val="nl-NL"/>
        </w:rPr>
        <w:t>Harmonised</w:t>
      </w:r>
      <w:proofErr w:type="spellEnd"/>
      <w:r>
        <w:rPr>
          <w:rFonts w:ascii="Arial" w:hAnsi="Arial" w:cs="Arial"/>
          <w:b/>
          <w:sz w:val="20"/>
          <w:lang w:val="nl-NL"/>
        </w:rPr>
        <w:t xml:space="preserve"> System (GHS)</w:t>
      </w:r>
    </w:p>
    <w:p w:rsidR="002B32E8" w:rsidRPr="002B32E8" w:rsidRDefault="002B32E8" w:rsidP="002B32E8">
      <w:pPr>
        <w:rPr>
          <w:rFonts w:ascii="Arial" w:hAnsi="Arial" w:cs="Arial"/>
          <w:lang w:val="nl-NL"/>
        </w:rPr>
      </w:pPr>
      <w:r w:rsidRPr="002B32E8">
        <w:rPr>
          <w:rFonts w:ascii="Arial" w:hAnsi="Arial" w:cs="Arial"/>
          <w:sz w:val="20"/>
          <w:lang w:val="nl-NL"/>
        </w:rPr>
        <w:t xml:space="preserve">De pictogrammen en H+P zinnen die hierboven worden gebruikt zijn onderdeel van het zogenaamde </w:t>
      </w:r>
      <w:proofErr w:type="spellStart"/>
      <w:r w:rsidRPr="002B32E8">
        <w:rPr>
          <w:rFonts w:ascii="Arial" w:hAnsi="Arial" w:cs="Arial"/>
          <w:sz w:val="20"/>
          <w:lang w:val="nl-NL"/>
        </w:rPr>
        <w:t>Globally</w:t>
      </w:r>
      <w:proofErr w:type="spellEnd"/>
      <w:r w:rsidRPr="002B32E8">
        <w:rPr>
          <w:rFonts w:ascii="Arial" w:hAnsi="Arial" w:cs="Arial"/>
          <w:sz w:val="20"/>
          <w:lang w:val="nl-NL"/>
        </w:rPr>
        <w:t xml:space="preserve"> </w:t>
      </w:r>
      <w:proofErr w:type="spellStart"/>
      <w:r w:rsidRPr="002B32E8">
        <w:rPr>
          <w:rFonts w:ascii="Arial" w:hAnsi="Arial" w:cs="Arial"/>
          <w:sz w:val="20"/>
          <w:lang w:val="nl-NL"/>
        </w:rPr>
        <w:t>Harmonised</w:t>
      </w:r>
      <w:proofErr w:type="spellEnd"/>
      <w:r w:rsidRPr="002B32E8">
        <w:rPr>
          <w:rFonts w:ascii="Arial" w:hAnsi="Arial" w:cs="Arial"/>
          <w:sz w:val="20"/>
          <w:lang w:val="nl-NL"/>
        </w:rPr>
        <w:t xml:space="preserve"> System (GHS). De huidige systeem van pictogrammen en zogenaamde R+S zinnen worden de komende tijd vervangen door dit GHS-systeem. Per 1 juni 2015 moeten alle oude pictogrammen en zinnen vervangen zijn. Voor meer informatie zie de </w:t>
      </w:r>
      <w:hyperlink r:id="rId13" w:history="1">
        <w:r w:rsidRPr="002B32E8">
          <w:rPr>
            <w:rStyle w:val="Hyperlink"/>
            <w:rFonts w:ascii="Arial" w:hAnsi="Arial" w:cs="Arial"/>
            <w:sz w:val="20"/>
            <w:lang w:val="nl-NL"/>
          </w:rPr>
          <w:t>website over GHS van de overheid</w:t>
        </w:r>
      </w:hyperlink>
      <w:r w:rsidRPr="002B32E8">
        <w:rPr>
          <w:rFonts w:ascii="Arial" w:hAnsi="Arial" w:cs="Arial"/>
          <w:sz w:val="20"/>
          <w:lang w:val="nl-NL"/>
        </w:rPr>
        <w:t xml:space="preserve">. Deze website bevat ook een pagina met een </w:t>
      </w:r>
      <w:hyperlink r:id="rId14" w:history="1">
        <w:r w:rsidRPr="002B32E8">
          <w:rPr>
            <w:rStyle w:val="Hyperlink"/>
            <w:rFonts w:ascii="Arial" w:hAnsi="Arial" w:cs="Arial"/>
            <w:sz w:val="20"/>
            <w:lang w:val="nl-NL"/>
          </w:rPr>
          <w:t>oud-nieuw tabel</w:t>
        </w:r>
      </w:hyperlink>
      <w:r w:rsidRPr="002B32E8">
        <w:rPr>
          <w:rFonts w:ascii="Arial" w:hAnsi="Arial" w:cs="Arial"/>
          <w:sz w:val="20"/>
          <w:lang w:val="nl-NL"/>
        </w:rPr>
        <w:t>.</w:t>
      </w:r>
    </w:p>
    <w:sectPr w:rsidR="002B32E8" w:rsidRPr="002B3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D37"/>
    <w:multiLevelType w:val="hybridMultilevel"/>
    <w:tmpl w:val="D4D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446579"/>
    <w:multiLevelType w:val="hybridMultilevel"/>
    <w:tmpl w:val="3E7C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E8"/>
    <w:rsid w:val="00074DB7"/>
    <w:rsid w:val="002B32E8"/>
    <w:rsid w:val="0038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9DE4"/>
  <w15:chartTrackingRefBased/>
  <w15:docId w15:val="{1E9B7A5F-CE69-4C74-9145-53DA477F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3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B32E8"/>
    <w:pPr>
      <w:ind w:left="720"/>
      <w:contextualSpacing/>
    </w:pPr>
  </w:style>
  <w:style w:type="character" w:styleId="Hyperlink">
    <w:name w:val="Hyperlink"/>
    <w:basedOn w:val="Standaardalinea-lettertype"/>
    <w:uiPriority w:val="99"/>
    <w:unhideWhenUsed/>
    <w:rsid w:val="002B3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toffen-info.nl/onderwerpen/eu-gh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toffen-info.nl/onderwerpen/clp-eu-ghs/etiketteren-0/oud-nieuw-tabe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512</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1</cp:revision>
  <dcterms:created xsi:type="dcterms:W3CDTF">2016-09-13T12:40:00Z</dcterms:created>
  <dcterms:modified xsi:type="dcterms:W3CDTF">2016-09-13T12:46:00Z</dcterms:modified>
</cp:coreProperties>
</file>